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Неврология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04:17 МСК · База обновлена: 25.07.2026, 03:59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Неврология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44 лет обратилась к неврологу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головные боли, постоянное ощущение усталости, плохой сон.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5 лет беспокоит частая (несколько раз в неделю) головная боль, от слабой до выраженной интенсивности, двухсторонняя, давящая. Для облегчения головной боли почти ежедневно принимает анальгетики до 3-4 таблеток в день, последние два года практически ежедневно, иногда "впрок" чтобы не развилась головная боль. Стала раздражительной, конфликтует с соседями, перестала по утрам бегать.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аллергоанамнез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60 кг, рост 168 см. Температура тела 36,60С. Кожные покровы обычной окраски и влажности. В легких дыхание везикулярное, хрипов нет. ЧДД 16 в мин. Тоны сердца ясные, ритмичные, ЧСС 82 уд/мин, АД 130/75 мм рт.ст. Живот мягкий, безболезненный. Печень, селезенка не увеличены. Стул,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статус*: Общемозговых и менингеальных симптомов нет, четкой очаговой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Ведущим диагностическим методом при данном заболевании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инструментальный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молекулярно-генетический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лабораторный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клинический</w:t>
      </w:r>
    </w:p>
    <w:p>
      <w:pPr>
        <w:ind w:left="504"/>
      </w:pPr>
      <w:r>
        <w:rPr>
          <w:b w:val="0"/>
          <w:i/>
        </w:rPr>
        <w:t>Ведущим диагностическим методом при установлении генеза цефалгического синдрома является клинический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диагностическим критерием установления генеза головной боли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двусторонняя локализация, сжимающий характер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возникновение головной боли без предвестников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признаков вегетативной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усиление в определённое время суток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двусторонняя локализация, сжимающий характер</w:t>
      </w:r>
    </w:p>
    <w:p>
      <w:pPr>
        <w:ind w:left="504"/>
      </w:pPr>
      <w:r>
        <w:rPr>
          <w:b w:val="0"/>
          <w:i/>
        </w:rPr>
        <w:t>Важным диагностическим критерием головных болей напряжения  является двусторонняя локализация, сжимающий характер.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Одним из ведущих факторов хронизации головной боли у пациентки явился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 моложе 50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малоподвижный образ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конфликты с соседями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бесконтрольный прием обезболивающих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бесконтрольный прием обезболивающих</w:t>
      </w:r>
    </w:p>
    <w:p>
      <w:pPr>
        <w:ind w:left="504"/>
      </w:pPr>
      <w:r>
        <w:rPr>
          <w:b w:val="0"/>
          <w:i/>
        </w:rPr>
        <w:t>Одним из ведущих факторов хронизации головной боли является бесконтрольный прием обезболивающих.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Лекарственно-индуцированная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Невралгия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мигрень без ауры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Кластерная головная боль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Лекарственно-индуцированная головная боль</w:t>
      </w:r>
    </w:p>
    <w:p>
      <w:pPr>
        <w:ind w:left="504"/>
      </w:pPr>
      <w:r>
        <w:rPr>
          <w:b w:val="0"/>
          <w:i/>
        </w:rPr>
        <w:t>Двухсторонняя ежедневная головная боль, сжимающего характера, злоупотребление анальгетиками, отсутствие очаговой неврологической симптоматики позволяют диагностировать Хроническую головную боль напряжения. Лекарственно индуцированная головная боль является осложнением ГБН, характеризуется возникновением головной боли в течение 15 и более дней в месяц на протяжении 3 месяцев, может развиваться при избыточном применении любых средств для купирования ГБ (10 или 15 дней в месяц и более в зависимости от вида «виновного препарата») и обычно облегчается после его отмены.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Основным критерием диагноза у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число дней приема обезболивающих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работоспособности и концентрации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сна и аппетита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интенсивность и характер головной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число дней приема обезболивающих в месяц</w:t>
      </w:r>
    </w:p>
    <w:p>
      <w:pPr>
        <w:ind w:left="504"/>
      </w:pPr>
      <w:r>
        <w:rPr>
          <w:b w:val="0"/>
          <w:i/>
        </w:rPr>
        <w:t>Основным диагностическим критерием ЛИГБ головной боли у пациентки является число дней с приемом обезболивающих в месяц.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частыми сопутствующими симптомами при данной патологии являют(-ет)ся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фото- и фонофобия, тошнота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бледность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метаморфопсии, тошнота, рвота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тревожное расстройство, диссомния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тревожное расстройство, диссомния</w:t>
      </w:r>
    </w:p>
    <w:p>
      <w:pPr>
        <w:ind w:left="504"/>
      </w:pPr>
      <w:r>
        <w:rPr>
          <w:b w:val="0"/>
          <w:i/>
        </w:rPr>
        <w:t>Наиболее частыми сопутствующими симптомами при данной патологии являются тревожное расстройство, диссомния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головной боли у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добавления к терапии триптанов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увеличения дозы анальгетика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отмены препаратов злоупотребления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добавления к терапии эрготаминов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отмены препаратов злоупотребления</w:t>
      </w:r>
    </w:p>
    <w:p>
      <w:pPr>
        <w:ind w:left="504"/>
      </w:pPr>
      <w:r>
        <w:rPr>
          <w:b w:val="0"/>
          <w:i/>
        </w:rPr>
        <w:t>Лечение ЛИГБ следует начинать с отмены препаратов злоупотребления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Параллельно с основной терапевтической стратегией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иглорефлексотерапии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детоксикации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плазмафереза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массажа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детоксикации</w:t>
      </w:r>
    </w:p>
    <w:p>
      <w:pPr>
        <w:ind w:left="504"/>
      </w:pPr>
      <w:r>
        <w:rPr>
          <w:b w:val="0"/>
          <w:i/>
        </w:rPr>
        <w:t>Параллельно с основной терапевтической стратегией необходимо проведение детоксикации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 первого выбора в качестве профилактической терапии  головной боли у пациентки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ноотропы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антидепрессанты</w:t>
      </w:r>
    </w:p>
    <w:p>
      <w:pPr>
        <w:ind w:left="504"/>
      </w:pPr>
      <w:r>
        <w:rPr>
          <w:b w:val="0"/>
          <w:i/>
        </w:rPr>
        <w:t>Препаратами первого выбора в качестве профилактической терапии головной боли у пациентки являются антидепрессанты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эффективным препаратом из группы антидепрессантов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эсциталопрам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амитриптилин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агомелатин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пароксетин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амитриптилин</w:t>
      </w:r>
    </w:p>
    <w:p>
      <w:pPr>
        <w:ind w:left="504"/>
      </w:pPr>
      <w:r>
        <w:rPr>
          <w:b w:val="0"/>
          <w:i/>
        </w:rPr>
        <w:t>Наиболее эффективным препаратом у пациентов с ГБН и ЛИГБ является амитриптилин. При его неэффективности можно использовать другой антидепрессант.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Дозу амитриптилина титруют по 5-10 мг в сутки до наступления клинической эффективности или появления нежелательных явлений 1 раз в _____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</w:t>
      </w:r>
    </w:p>
    <w:p>
      <w:pPr>
        <w:ind w:left="504"/>
      </w:pPr>
      <w:r>
        <w:rPr>
          <w:b w:val="0"/>
          <w:i/>
        </w:rPr>
        <w:t>Лечение амитриптилином начинают с небольших доз 5-10 мг /сутки, а затем каждую неделю титруют по 5-10 мг до наступления клинической эффективности или появления нежелательных явлений.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период отмены и лечения лекарственно-индуцированной головной боли суммарное количество любых обезболивающих препаратов не должно превышать _____ доз/месяц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8-10</w:t>
      </w:r>
    </w:p>
    <w:p>
      <w:pPr>
        <w:ind w:left="504"/>
      </w:pPr>
      <w:r>
        <w:rPr>
          <w:b w:val="0"/>
          <w:i/>
        </w:rPr>
        <w:t>В период отмены и лечения лекарственно-индуцированной головной боли суммарное количество любых обезболивающих препаратов не должно превышать 8-10 доз в месяц.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Головная боль напряжения (ГБН),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Неврология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62_24/" TargetMode="External"/><Relationship Id="rId21" Type="http://schemas.openxmlformats.org/officeDocument/2006/relationships/hyperlink" Target="https://library.mededtech.ru/rest/documents/KP162_24/#list_item_crmsa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62_24/#paragraph_106fl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62_24/index.html#paragraph_vm6s1c" TargetMode="External"/><Relationship Id="rId26" Type="http://schemas.openxmlformats.org/officeDocument/2006/relationships/hyperlink" Target="https://library.mededtech.ru/rest/documents/ISBN9785970466728/?anchor=paragraph_1f1dc3#paragraph_1f1dc3" TargetMode="External"/><Relationship Id="rId27" Type="http://schemas.openxmlformats.org/officeDocument/2006/relationships/hyperlink" Target="https://library.mededtech.ru/rest/documents/KP162_24/#paragraph_uv3ucn" TargetMode="External"/><Relationship Id="rId28" Type="http://schemas.openxmlformats.org/officeDocument/2006/relationships/hyperlink" Target="https://library.mededtech.ru/rest/documents/KP162_24/#paragraph_ullkv2" TargetMode="External"/><Relationship Id="rId29" Type="http://schemas.openxmlformats.org/officeDocument/2006/relationships/hyperlink" Target="https://library.mededtech.ru/rest/documents/KP162_24/#paragraph_njn247" TargetMode="External"/><Relationship Id="rId30" Type="http://schemas.openxmlformats.org/officeDocument/2006/relationships/hyperlink" Target="https://library.mededtech.ru/rest/documents/KP162_24/#paragraph_v7hkg5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KP162_24/#paragraph_bmbsn8" TargetMode="External"/><Relationship Id="rId33" Type="http://schemas.openxmlformats.org/officeDocument/2006/relationships/hyperlink" Target="https://library.mededtech.ru/rest/documents/KP162_24/#paragraph_h0skq7" TargetMode="External"/><Relationship Id="rId34" Type="http://schemas.openxmlformats.org/officeDocument/2006/relationships/hyperlink" Target="https://library.mededtech.ru/rest/documents/KP162_24/#list_item_usmo5r" TargetMode="External"/><Relationship Id="rId35" Type="http://schemas.openxmlformats.org/officeDocument/2006/relationships/hyperlink" Target="https://library.mededtech.ru/rest/documents/KP162_24/#list_item_9ukefh" TargetMode="External"/><Relationship Id="rId36" Type="http://schemas.openxmlformats.org/officeDocument/2006/relationships/hyperlink" Target="https://library.mededtech.ru/rest/documents/KP162_24/#paragraph_1oeen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